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73AAE6C6" w:rsidR="00173338" w:rsidRDefault="00FB3A6A" w:rsidP="00173338">
      <w:pPr>
        <w:pStyle w:val="Title"/>
      </w:pPr>
      <w:r>
        <w:t>Wisconsin</w:t>
      </w:r>
      <w:r w:rsidR="00173338">
        <w:t xml:space="preserve"> </w:t>
      </w:r>
      <w:r w:rsidR="005F2060">
        <w:t>Addendum</w:t>
      </w:r>
    </w:p>
    <w:p w14:paraId="62E081B9" w14:textId="12A8AD2E" w:rsidR="00173338" w:rsidRDefault="00173338" w:rsidP="00173338">
      <w:pPr>
        <w:pStyle w:val="Title"/>
      </w:pPr>
      <w:r>
        <w:t>State Specific Provider Requirements</w:t>
      </w:r>
    </w:p>
    <w:p w14:paraId="41D63911" w14:textId="6011E75C" w:rsidR="00173338" w:rsidRPr="00C52FCB" w:rsidRDefault="00FF03ED" w:rsidP="00FF03ED">
      <w:pPr>
        <w:pStyle w:val="Heading1"/>
        <w:rPr>
          <w:b/>
          <w:bCs/>
        </w:rPr>
      </w:pPr>
      <w:r w:rsidRPr="00C52FCB">
        <w:rPr>
          <w:b/>
          <w:bCs/>
        </w:rPr>
        <w:t>General Terms.</w:t>
      </w:r>
    </w:p>
    <w:p w14:paraId="5258153F" w14:textId="58DE2E9C" w:rsidR="00173338" w:rsidRDefault="005F2060" w:rsidP="00FF03ED">
      <w:pPr>
        <w:pStyle w:val="Heading2"/>
      </w:pPr>
      <w:r>
        <w:rPr>
          <w:i/>
          <w:iCs/>
        </w:rPr>
        <w:t>Relationship to Master Provider Agreement</w:t>
      </w:r>
      <w:r>
        <w:t>.</w:t>
      </w:r>
      <w:r>
        <w:rPr>
          <w:i/>
          <w:iCs/>
        </w:rPr>
        <w:t xml:space="preserve"> </w:t>
      </w:r>
      <w:proofErr w:type="gramStart"/>
      <w:r>
        <w:t>In the event that</w:t>
      </w:r>
      <w:proofErr w:type="gramEnd"/>
      <w:r>
        <w:t xml:space="preserve"> a provision of this Addendum conflicts with a provision of the Agreement, the provisions of this Addendum shall supersede, govern and control to the extent required by law and to the extent Contigo Health, Provider</w:t>
      </w:r>
      <w:r w:rsidR="0029595D">
        <w:t xml:space="preserve">, </w:t>
      </w:r>
      <w:r>
        <w:t xml:space="preserve">Customers, Downstream Clients or Payors are </w:t>
      </w:r>
      <w:r w:rsidR="0029595D">
        <w:t>subject to such law.</w:t>
      </w:r>
    </w:p>
    <w:p w14:paraId="69C2347E" w14:textId="18F4DA97" w:rsidR="00571C93" w:rsidRDefault="00571C93" w:rsidP="00571C93">
      <w:pPr>
        <w:pStyle w:val="Heading2"/>
      </w:pPr>
      <w:r>
        <w:rPr>
          <w:i/>
          <w:iCs/>
        </w:rPr>
        <w:t>Applicability</w:t>
      </w:r>
      <w:r>
        <w:t xml:space="preserve">. </w:t>
      </w:r>
      <w:r w:rsidR="00E93BFB">
        <w:t>Provisions included herein</w:t>
      </w:r>
      <w:r w:rsidR="003D187A">
        <w:t xml:space="preserve"> which are not </w:t>
      </w:r>
      <w:r w:rsidR="007F528F">
        <w:t>otherwise addressed by</w:t>
      </w:r>
      <w:r w:rsidR="003D187A">
        <w:t xml:space="preserve"> the Agreement shall be considered additional obligations upon the Parties</w:t>
      </w:r>
      <w:r w:rsidR="007F528F">
        <w:t xml:space="preserve"> for purposes of Covered Services provided in this State</w:t>
      </w:r>
      <w:r w:rsidR="003D187A">
        <w:t>.</w:t>
      </w:r>
      <w:r w:rsidR="007F528F">
        <w:t xml:space="preserve"> Provisions included herein which specifically contradict an obligation under a provision of the Agreement shall </w:t>
      </w:r>
      <w:r w:rsidR="00E11591">
        <w:t>replace</w:t>
      </w:r>
      <w:r w:rsidR="007F528F">
        <w:t xml:space="preserve"> </w:t>
      </w:r>
      <w:r w:rsidR="00706DFD">
        <w:t>that specific</w:t>
      </w:r>
      <w:r w:rsidR="007F528F">
        <w:t xml:space="preserve"> Agreement provision for purposes of Covered Services provided in this State, to the extent necessary to comply with applicable law.</w:t>
      </w:r>
      <w:r w:rsidR="00706DFD">
        <w:t xml:space="preserve"> The provisions of this Addendum apply only to the entities covered by the referenced law and only for purposes of Covered Services provided in this State, unless otherwise required by the terms of the </w:t>
      </w:r>
      <w:r w:rsidR="00DF3C3F">
        <w:t xml:space="preserve">applicable </w:t>
      </w:r>
      <w:r w:rsidR="00706DFD">
        <w:t>law.</w:t>
      </w:r>
    </w:p>
    <w:p w14:paraId="2B44ECD0" w14:textId="425FAFFB" w:rsidR="00070C35" w:rsidRDefault="00070C35" w:rsidP="00FF03ED">
      <w:pPr>
        <w:pStyle w:val="Heading2"/>
      </w:pPr>
      <w:r>
        <w:rPr>
          <w:i/>
          <w:iCs/>
        </w:rPr>
        <w:t>Definitions</w:t>
      </w:r>
      <w:r>
        <w:t>. Capitalized terms used herein but not defined shall have the meaning assigned in the Agreement or assigned in the applicable law.</w:t>
      </w:r>
    </w:p>
    <w:p w14:paraId="6BEEF5B7" w14:textId="39A1F2A6" w:rsidR="00070C35" w:rsidRDefault="00070C35" w:rsidP="00FF03ED">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r w:rsidR="00443943">
        <w:t>.</w:t>
      </w:r>
    </w:p>
    <w:p w14:paraId="17B30A97" w14:textId="6CBDD93C" w:rsidR="00571C93" w:rsidRDefault="0087763E" w:rsidP="00FF03ED">
      <w:pPr>
        <w:pStyle w:val="Heading2"/>
      </w:pPr>
      <w:r>
        <w:rPr>
          <w:i/>
          <w:iCs/>
        </w:rPr>
        <w:t xml:space="preserve">Compliance with Law; </w:t>
      </w:r>
      <w:r w:rsidR="00571C93">
        <w:rPr>
          <w:i/>
          <w:iCs/>
        </w:rPr>
        <w:t>Change of Law</w:t>
      </w:r>
      <w:r w:rsidR="00571C93">
        <w:t xml:space="preserve">. </w:t>
      </w:r>
      <w:r>
        <w:t>Any ambiguity in this Addendum shall be resolved in favor of a meaning that complies and is consistent with applicable law.</w:t>
      </w:r>
      <w:r w:rsidR="003D187A">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t xml:space="preserve"> effective as of the date of the change in law</w:t>
      </w:r>
      <w:r w:rsidR="003D187A">
        <w:t>.</w:t>
      </w:r>
      <w:r>
        <w:t xml:space="preserve"> </w:t>
      </w:r>
      <w:r w:rsidR="003D187A">
        <w:t xml:space="preserve">Contigo </w:t>
      </w:r>
      <w:r w:rsidR="007F528F">
        <w:t xml:space="preserve">Health </w:t>
      </w:r>
      <w:r w:rsidR="003D187A">
        <w:t xml:space="preserve">will update this Addendum </w:t>
      </w:r>
      <w:r w:rsidR="00DF3C3F">
        <w:t xml:space="preserve">after a change in law </w:t>
      </w:r>
      <w:r w:rsidR="003D187A">
        <w:t>when reasonably practicable.</w:t>
      </w:r>
    </w:p>
    <w:p w14:paraId="157A7C82" w14:textId="5E35186C" w:rsidR="00173338" w:rsidRPr="00C52FCB" w:rsidRDefault="00443943" w:rsidP="00443943">
      <w:pPr>
        <w:pStyle w:val="Heading1"/>
        <w:rPr>
          <w:b/>
          <w:bCs/>
        </w:rPr>
      </w:pPr>
      <w:r w:rsidRPr="00C52FCB">
        <w:rPr>
          <w:b/>
          <w:bCs/>
        </w:rPr>
        <w:t>Network Arranger Laws</w:t>
      </w:r>
    </w:p>
    <w:p w14:paraId="35F6D7DA" w14:textId="69E9BF9D" w:rsidR="00996AFE" w:rsidRDefault="008B23B1" w:rsidP="00996AFE">
      <w:pPr>
        <w:pStyle w:val="Heading2"/>
      </w:pPr>
      <w:r>
        <w:t>As of the date of this Addendum, t</w:t>
      </w:r>
      <w:r w:rsidR="00996AFE">
        <w:t>here are no applicable laws of this type.</w:t>
      </w:r>
    </w:p>
    <w:p w14:paraId="682C43E2" w14:textId="22B34229" w:rsidR="00443943" w:rsidRDefault="00443943" w:rsidP="00443943">
      <w:pPr>
        <w:pStyle w:val="Heading1"/>
        <w:rPr>
          <w:b/>
          <w:bCs/>
        </w:rPr>
      </w:pPr>
      <w:r w:rsidRPr="00C52FCB">
        <w:rPr>
          <w:b/>
          <w:bCs/>
        </w:rPr>
        <w:t>General Insurance Laws</w:t>
      </w:r>
    </w:p>
    <w:p w14:paraId="2B494694" w14:textId="02BEDEF3" w:rsidR="00656D4F" w:rsidRDefault="00FB3A6A" w:rsidP="00FB3A6A">
      <w:pPr>
        <w:pStyle w:val="Heading2"/>
      </w:pPr>
      <w:r>
        <w:t xml:space="preserve">As </w:t>
      </w:r>
      <w:r w:rsidR="00232A85">
        <w:t xml:space="preserve">required by Wis. Stat. § </w:t>
      </w:r>
      <w:r w:rsidR="00AD4700">
        <w:t>609.24</w:t>
      </w:r>
      <w:r w:rsidR="00E85021">
        <w:t>(</w:t>
      </w:r>
      <w:r w:rsidR="00E46227">
        <w:t>1</w:t>
      </w:r>
      <w:r w:rsidR="00E85021">
        <w:t>)(</w:t>
      </w:r>
      <w:r w:rsidR="00E46227">
        <w:t>e</w:t>
      </w:r>
      <w:r w:rsidR="00E85021">
        <w:t>)</w:t>
      </w:r>
      <w:r>
        <w:t>,</w:t>
      </w:r>
      <w:r w:rsidR="00AD4700">
        <w:t xml:space="preserve"> </w:t>
      </w:r>
      <w:r w:rsidR="00E27AD9">
        <w:t xml:space="preserve">unless </w:t>
      </w:r>
      <w:r w:rsidR="00ED2171">
        <w:t xml:space="preserve">Provider no longer practices in the defined network plan’s geographic service area or the defined network plan terminates </w:t>
      </w:r>
      <w:r w:rsidR="000C488D">
        <w:t xml:space="preserve">the Agreement for </w:t>
      </w:r>
      <w:r w:rsidR="00CE6EC7">
        <w:t xml:space="preserve">Provider </w:t>
      </w:r>
      <w:r w:rsidR="000C488D">
        <w:t xml:space="preserve">misconduct, an insurer issuing a defined network plan shall </w:t>
      </w:r>
      <w:r w:rsidR="007C7F46">
        <w:t>provide continuity of care coverage pursuant to Wis. Stat. 609.24.</w:t>
      </w:r>
    </w:p>
    <w:p w14:paraId="755EFF3B" w14:textId="1177F469" w:rsidR="006E358B" w:rsidRDefault="006E358B" w:rsidP="00FB3A6A">
      <w:pPr>
        <w:pStyle w:val="Heading2"/>
      </w:pPr>
      <w:r>
        <w:lastRenderedPageBreak/>
        <w:t>As required by Wis. Stat. § 608.24(2)</w:t>
      </w:r>
      <w:r w:rsidR="00D13427">
        <w:t xml:space="preserve"> and </w:t>
      </w:r>
      <w:r w:rsidR="000E1A78">
        <w:t>Wis. Admin. Code Ins. § 9.35</w:t>
      </w:r>
      <w:r w:rsidR="00796874">
        <w:t>(1m)</w:t>
      </w:r>
      <w:r w:rsidR="00B216B5">
        <w:t>, Provider is required to notify all plan enrollees of the enrollees’ rights under Wis. Stat. 608.24</w:t>
      </w:r>
      <w:r w:rsidR="00952C9F">
        <w:t xml:space="preserve">.  </w:t>
      </w:r>
      <w:r w:rsidR="00952C9F" w:rsidRPr="00952C9F">
        <w:t xml:space="preserve">The participating </w:t>
      </w:r>
      <w:r w:rsidR="00952C9F">
        <w:t>P</w:t>
      </w:r>
      <w:r w:rsidR="00952C9F" w:rsidRPr="00952C9F">
        <w:t>rovider contracted with the insurer shall post a notification of termination with the plan no later than 30 days prior to the termination or 15 days following the date the insurer received the provider's termination notice, whichever is later, and describe each enrollee's options for receiving continued care from the terminated provider.</w:t>
      </w:r>
    </w:p>
    <w:p w14:paraId="38762B11" w14:textId="06FEF8DB" w:rsidR="00FB3A6A" w:rsidRDefault="00CE4689" w:rsidP="00FB3A6A">
      <w:pPr>
        <w:pStyle w:val="Heading2"/>
      </w:pPr>
      <w:r>
        <w:t>As required by Wis. Admin. Code Ins. § 18.03</w:t>
      </w:r>
      <w:r w:rsidR="00F903A5">
        <w:t>(2)</w:t>
      </w:r>
      <w:r w:rsidR="004D23E0">
        <w:t>(c)</w:t>
      </w:r>
      <w:r w:rsidR="006F1396">
        <w:t xml:space="preserve"> </w:t>
      </w:r>
      <w:r w:rsidR="001B725E">
        <w:t xml:space="preserve">contracting entity </w:t>
      </w:r>
      <w:r w:rsidR="002C66CC">
        <w:t xml:space="preserve">and Providers must </w:t>
      </w:r>
      <w:r w:rsidR="001B725E" w:rsidRPr="001B725E">
        <w:t>promptly respond to complaints and grievances filed with the insurer to facilitate resolution</w:t>
      </w:r>
      <w:r w:rsidR="00004F1C">
        <w:t xml:space="preserve">.  </w:t>
      </w:r>
    </w:p>
    <w:p w14:paraId="51FDE7CD" w14:textId="35EE6275" w:rsidR="00443943" w:rsidRPr="00C52FCB" w:rsidRDefault="00443943" w:rsidP="00443943">
      <w:pPr>
        <w:pStyle w:val="Heading1"/>
        <w:rPr>
          <w:b/>
          <w:bCs/>
        </w:rPr>
      </w:pPr>
      <w:r w:rsidRPr="00C52FCB">
        <w:rPr>
          <w:b/>
          <w:bCs/>
        </w:rPr>
        <w:t>Health Maintenance Organization</w:t>
      </w:r>
      <w:r w:rsidR="000D563E">
        <w:rPr>
          <w:b/>
          <w:bCs/>
        </w:rPr>
        <w:t xml:space="preserve"> (HMO)</w:t>
      </w:r>
      <w:r w:rsidRPr="00C52FCB">
        <w:rPr>
          <w:b/>
          <w:bCs/>
        </w:rPr>
        <w:t>/</w:t>
      </w:r>
      <w:r w:rsidR="00D52C6D" w:rsidRPr="00C52FCB">
        <w:rPr>
          <w:b/>
          <w:bCs/>
        </w:rPr>
        <w:t>M</w:t>
      </w:r>
      <w:r w:rsidRPr="00C52FCB">
        <w:rPr>
          <w:b/>
          <w:bCs/>
        </w:rPr>
        <w:t xml:space="preserve">anaged Care Organization </w:t>
      </w:r>
      <w:r w:rsidR="000D563E">
        <w:rPr>
          <w:b/>
          <w:bCs/>
        </w:rPr>
        <w:t xml:space="preserve">(MCO) </w:t>
      </w:r>
      <w:r w:rsidRPr="00C52FCB">
        <w:rPr>
          <w:b/>
          <w:bCs/>
        </w:rPr>
        <w:t>Specific Laws</w:t>
      </w:r>
    </w:p>
    <w:p w14:paraId="6C865E0D" w14:textId="77777777" w:rsidR="00FB3A6A" w:rsidRDefault="00FB3A6A" w:rsidP="00FB3A6A">
      <w:pPr>
        <w:pStyle w:val="Heading2"/>
      </w:pPr>
      <w:r>
        <w:t>As of the date of this Addendum, there are no applicable laws of this type.</w:t>
      </w:r>
    </w:p>
    <w:p w14:paraId="3880B136" w14:textId="63FC8759" w:rsidR="00E8749B" w:rsidRPr="008116F2" w:rsidRDefault="00E8749B" w:rsidP="00173338"/>
    <w:sectPr w:rsidR="00E8749B" w:rsidRPr="008116F2"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83BDD" w14:textId="77777777" w:rsidR="0056459D" w:rsidRDefault="0056459D" w:rsidP="00D54B2B">
      <w:pPr>
        <w:spacing w:after="0"/>
      </w:pPr>
      <w:r>
        <w:separator/>
      </w:r>
    </w:p>
  </w:endnote>
  <w:endnote w:type="continuationSeparator" w:id="0">
    <w:p w14:paraId="71B650C6" w14:textId="77777777" w:rsidR="0056459D" w:rsidRDefault="0056459D"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6ad9fef8-3544-43ea-8583-11bc"/>
  <w:p w14:paraId="4B4ADED2" w14:textId="77777777" w:rsidR="00C8054F" w:rsidRDefault="00C8054F">
    <w:pPr>
      <w:pStyle w:val="DocID"/>
    </w:pPr>
    <w:r>
      <w:fldChar w:fldCharType="begin"/>
    </w:r>
    <w:r>
      <w:instrText xml:space="preserve">  DOCPROPERTY "CUS_DocIDChunk0" </w:instrText>
    </w:r>
    <w:r>
      <w:fldChar w:fldCharType="separate"/>
    </w:r>
    <w:r>
      <w:t>4858-2968-1794.1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8573904e-add1-4d6a-a37b-1451"/>
  <w:p w14:paraId="0CA09C95" w14:textId="77777777" w:rsidR="00C8054F" w:rsidRDefault="00C8054F">
    <w:pPr>
      <w:pStyle w:val="DocID"/>
    </w:pPr>
    <w:r>
      <w:fldChar w:fldCharType="begin"/>
    </w:r>
    <w:r>
      <w:instrText xml:space="preserve">  DOCPROPERTY "CUS_DocIDChunk0" </w:instrText>
    </w:r>
    <w:r>
      <w:fldChar w:fldCharType="separate"/>
    </w:r>
    <w:r>
      <w:t>4858-2968-1794.1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0a5d788c-8942-4576-a023-5843"/>
  <w:p w14:paraId="10E3AE68" w14:textId="77777777" w:rsidR="00C8054F" w:rsidRDefault="00C8054F">
    <w:pPr>
      <w:pStyle w:val="DocID"/>
    </w:pPr>
    <w:r>
      <w:fldChar w:fldCharType="begin"/>
    </w:r>
    <w:r>
      <w:instrText xml:space="preserve">  DOCPROPERTY "CUS_DocIDChunk0" </w:instrText>
    </w:r>
    <w:r>
      <w:fldChar w:fldCharType="separate"/>
    </w:r>
    <w:r>
      <w:t>4858-2968-1794.1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7DABD" w14:textId="77777777" w:rsidR="0056459D" w:rsidRDefault="0056459D" w:rsidP="00D54B2B">
      <w:pPr>
        <w:spacing w:after="0"/>
      </w:pPr>
      <w:r>
        <w:separator/>
      </w:r>
    </w:p>
  </w:footnote>
  <w:footnote w:type="continuationSeparator" w:id="0">
    <w:p w14:paraId="419FA29C" w14:textId="77777777" w:rsidR="0056459D" w:rsidRDefault="0056459D"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056AECF2"/>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16cid:durableId="412362915">
    <w:abstractNumId w:val="12"/>
  </w:num>
  <w:num w:numId="2" w16cid:durableId="963269876">
    <w:abstractNumId w:val="11"/>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04F1C"/>
    <w:rsid w:val="00016C80"/>
    <w:rsid w:val="000239AA"/>
    <w:rsid w:val="0003171A"/>
    <w:rsid w:val="0005044B"/>
    <w:rsid w:val="00070C35"/>
    <w:rsid w:val="000716E8"/>
    <w:rsid w:val="0007249B"/>
    <w:rsid w:val="000C488D"/>
    <w:rsid w:val="000D563E"/>
    <w:rsid w:val="000E1A78"/>
    <w:rsid w:val="0010300B"/>
    <w:rsid w:val="00125ED5"/>
    <w:rsid w:val="001455D4"/>
    <w:rsid w:val="00145E6E"/>
    <w:rsid w:val="001566BA"/>
    <w:rsid w:val="00172057"/>
    <w:rsid w:val="00173338"/>
    <w:rsid w:val="001A015C"/>
    <w:rsid w:val="001A74A5"/>
    <w:rsid w:val="001B0C81"/>
    <w:rsid w:val="001B725E"/>
    <w:rsid w:val="001B7CF2"/>
    <w:rsid w:val="001E0293"/>
    <w:rsid w:val="001F30CD"/>
    <w:rsid w:val="00232A85"/>
    <w:rsid w:val="00256813"/>
    <w:rsid w:val="00271F0E"/>
    <w:rsid w:val="0029595D"/>
    <w:rsid w:val="002A04D9"/>
    <w:rsid w:val="002B09B7"/>
    <w:rsid w:val="002C66CC"/>
    <w:rsid w:val="002F58F1"/>
    <w:rsid w:val="00300A0F"/>
    <w:rsid w:val="00321969"/>
    <w:rsid w:val="0034376E"/>
    <w:rsid w:val="00346903"/>
    <w:rsid w:val="0035789B"/>
    <w:rsid w:val="003D187A"/>
    <w:rsid w:val="003F0EA3"/>
    <w:rsid w:val="003F5632"/>
    <w:rsid w:val="00443943"/>
    <w:rsid w:val="00456EC5"/>
    <w:rsid w:val="0046577B"/>
    <w:rsid w:val="004B3E1A"/>
    <w:rsid w:val="004C7C90"/>
    <w:rsid w:val="004D23E0"/>
    <w:rsid w:val="004D3810"/>
    <w:rsid w:val="004E5724"/>
    <w:rsid w:val="004F738B"/>
    <w:rsid w:val="005079FB"/>
    <w:rsid w:val="00550979"/>
    <w:rsid w:val="005510B4"/>
    <w:rsid w:val="0056459D"/>
    <w:rsid w:val="00571C93"/>
    <w:rsid w:val="005D0E7E"/>
    <w:rsid w:val="005D28AF"/>
    <w:rsid w:val="005D4D91"/>
    <w:rsid w:val="005E5E76"/>
    <w:rsid w:val="005F2060"/>
    <w:rsid w:val="005F2CA0"/>
    <w:rsid w:val="00625DB6"/>
    <w:rsid w:val="006470E7"/>
    <w:rsid w:val="00656D4F"/>
    <w:rsid w:val="00663523"/>
    <w:rsid w:val="006677DD"/>
    <w:rsid w:val="006C618B"/>
    <w:rsid w:val="006C7C71"/>
    <w:rsid w:val="006E358B"/>
    <w:rsid w:val="006F1396"/>
    <w:rsid w:val="00704000"/>
    <w:rsid w:val="00706DFD"/>
    <w:rsid w:val="007112F5"/>
    <w:rsid w:val="00762073"/>
    <w:rsid w:val="00776BA0"/>
    <w:rsid w:val="00796874"/>
    <w:rsid w:val="007A6657"/>
    <w:rsid w:val="007C7F46"/>
    <w:rsid w:val="007E4EC1"/>
    <w:rsid w:val="007E594B"/>
    <w:rsid w:val="007F528F"/>
    <w:rsid w:val="007F5A4D"/>
    <w:rsid w:val="008045ED"/>
    <w:rsid w:val="008116F2"/>
    <w:rsid w:val="00833644"/>
    <w:rsid w:val="008345C5"/>
    <w:rsid w:val="00865CE6"/>
    <w:rsid w:val="0087763E"/>
    <w:rsid w:val="008A44DE"/>
    <w:rsid w:val="008B23B1"/>
    <w:rsid w:val="008D2617"/>
    <w:rsid w:val="00906D60"/>
    <w:rsid w:val="00914EF9"/>
    <w:rsid w:val="00952C9F"/>
    <w:rsid w:val="00960BF2"/>
    <w:rsid w:val="00984124"/>
    <w:rsid w:val="00996AFE"/>
    <w:rsid w:val="009B15FB"/>
    <w:rsid w:val="009B243E"/>
    <w:rsid w:val="009D3879"/>
    <w:rsid w:val="009E2916"/>
    <w:rsid w:val="009F7C15"/>
    <w:rsid w:val="00A11A29"/>
    <w:rsid w:val="00A311C9"/>
    <w:rsid w:val="00A37427"/>
    <w:rsid w:val="00AD4700"/>
    <w:rsid w:val="00B07327"/>
    <w:rsid w:val="00B216B5"/>
    <w:rsid w:val="00B37C3A"/>
    <w:rsid w:val="00B47F72"/>
    <w:rsid w:val="00B61A73"/>
    <w:rsid w:val="00BA09D6"/>
    <w:rsid w:val="00BC77CB"/>
    <w:rsid w:val="00BE01E1"/>
    <w:rsid w:val="00BF6927"/>
    <w:rsid w:val="00BF71B2"/>
    <w:rsid w:val="00C06583"/>
    <w:rsid w:val="00C07317"/>
    <w:rsid w:val="00C350F0"/>
    <w:rsid w:val="00C52FCB"/>
    <w:rsid w:val="00C62565"/>
    <w:rsid w:val="00C70C31"/>
    <w:rsid w:val="00C8054F"/>
    <w:rsid w:val="00CA7A07"/>
    <w:rsid w:val="00CE02F7"/>
    <w:rsid w:val="00CE33F4"/>
    <w:rsid w:val="00CE4689"/>
    <w:rsid w:val="00CE6EC7"/>
    <w:rsid w:val="00CF4E25"/>
    <w:rsid w:val="00D00343"/>
    <w:rsid w:val="00D03F90"/>
    <w:rsid w:val="00D0485C"/>
    <w:rsid w:val="00D13427"/>
    <w:rsid w:val="00D14968"/>
    <w:rsid w:val="00D342AD"/>
    <w:rsid w:val="00D46964"/>
    <w:rsid w:val="00D50F63"/>
    <w:rsid w:val="00D52C6D"/>
    <w:rsid w:val="00D54B2B"/>
    <w:rsid w:val="00D60EF0"/>
    <w:rsid w:val="00D760CE"/>
    <w:rsid w:val="00D90130"/>
    <w:rsid w:val="00DA562E"/>
    <w:rsid w:val="00DB6384"/>
    <w:rsid w:val="00DC3372"/>
    <w:rsid w:val="00DD3213"/>
    <w:rsid w:val="00DF3C3F"/>
    <w:rsid w:val="00E11591"/>
    <w:rsid w:val="00E24C56"/>
    <w:rsid w:val="00E27AD9"/>
    <w:rsid w:val="00E46227"/>
    <w:rsid w:val="00E85021"/>
    <w:rsid w:val="00E8749B"/>
    <w:rsid w:val="00E93BFB"/>
    <w:rsid w:val="00EB15C3"/>
    <w:rsid w:val="00ED2171"/>
    <w:rsid w:val="00ED4272"/>
    <w:rsid w:val="00EF3460"/>
    <w:rsid w:val="00F31304"/>
    <w:rsid w:val="00F543FB"/>
    <w:rsid w:val="00F5440F"/>
    <w:rsid w:val="00F903A5"/>
    <w:rsid w:val="00F9662C"/>
    <w:rsid w:val="00FB3A6A"/>
    <w:rsid w:val="00FB6932"/>
    <w:rsid w:val="00FF03ED"/>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Werwie, Cullen J.</cp:lastModifiedBy>
  <cp:revision>42</cp:revision>
  <dcterms:created xsi:type="dcterms:W3CDTF">2023-09-14T15:33:00Z</dcterms:created>
  <dcterms:modified xsi:type="dcterms:W3CDTF">2023-09-27T00:26:00Z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4858-2968-1794.1</vt:lpwstr>
  </property>
  <property fmtid="{D5CDD505-2E9C-101B-9397-08002B2CF9AE}" pid="3" name="CUS_DocIDChunk0">
    <vt:lpwstr>4858-2968-1794.1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