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88FD7F7" w:rsidR="00173338" w:rsidRDefault="00D233CE" w:rsidP="00173338">
      <w:pPr>
        <w:pStyle w:val="Title"/>
      </w:pPr>
      <w:r>
        <w:t>Florida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731C1F6D" w:rsidR="00996AFE" w:rsidRDefault="00D233CE" w:rsidP="00996AFE">
      <w:pPr>
        <w:pStyle w:val="Heading2"/>
      </w:pPr>
      <w:r>
        <w:t>As required by Fla. Stat. § 627.64731, the services of the Provider may be sold, leased, rented or access to such services may otherwise be granted to a third party, including network rental arrangements, and one of the purposes of the Agreement is selling, renting or giving the Contracting Entity rights to the services of the Provider, including to other preferred provider organizations. The Contracting Entity may sell, lease, rent or otherwise grant access to the Provider’s services only to a third party that is:</w:t>
      </w:r>
    </w:p>
    <w:p w14:paraId="65211657" w14:textId="220754BF" w:rsidR="00D233CE" w:rsidRDefault="00D233CE" w:rsidP="00D233CE">
      <w:pPr>
        <w:pStyle w:val="Heading3"/>
      </w:pPr>
      <w:r>
        <w:lastRenderedPageBreak/>
        <w:t>A payor or a third-party administrator or other entity responsible for administering claims on behalf of the payor;</w:t>
      </w:r>
    </w:p>
    <w:p w14:paraId="0202C9B7" w14:textId="7504476D" w:rsidR="00D233CE" w:rsidRPr="00D233CE" w:rsidRDefault="00D233CE" w:rsidP="00D233CE">
      <w:pPr>
        <w:pStyle w:val="Heading3"/>
        <w:rPr>
          <w:b/>
          <w:bCs/>
        </w:rPr>
      </w:pPr>
      <w:r w:rsidRPr="00D233CE">
        <w:t xml:space="preserve">A preferred provider organization or preferred provider network that receives access to the </w:t>
      </w:r>
      <w:r>
        <w:t>P</w:t>
      </w:r>
      <w:r w:rsidRPr="00D233CE">
        <w:t xml:space="preserve">rovider’s services pursuant to an arrangement with the preferred provider organization or preferred provider network in a contract with the </w:t>
      </w:r>
      <w:r>
        <w:t>P</w:t>
      </w:r>
      <w:r w:rsidRPr="00D233CE">
        <w:t xml:space="preserve">rovider and that is required to comply with all of the terms, conditions, and affirmative obligations to which the originally contracted primary participating provider network is bound under its contract with the </w:t>
      </w:r>
      <w:r>
        <w:t>P</w:t>
      </w:r>
      <w:r w:rsidRPr="00D233CE">
        <w:t>rovider, including, but not limited to, obligations concerning patient steerage and the timeliness and manner of reimbursement; or</w:t>
      </w:r>
      <w:r>
        <w:t xml:space="preserve"> </w:t>
      </w:r>
      <w:r w:rsidRPr="00D233CE">
        <w:t>in the business of providing electronic claims transport between the contracting entity and the payor or third-party administrator and that complies with all of the applicable terms, conditions, and affirmative obligations of the contracting entity’s contract with the participating provider including, but not limited to, obligations concerning patient steerage and the timeliness and manner of reimbursement.</w:t>
      </w:r>
    </w:p>
    <w:p w14:paraId="47531B02" w14:textId="3FA1F3C9" w:rsidR="00D233CE" w:rsidRPr="00D233CE" w:rsidRDefault="00D233CE" w:rsidP="00D233CE">
      <w:pPr>
        <w:pStyle w:val="Heading3"/>
        <w:rPr>
          <w:b/>
          <w:bCs/>
        </w:rPr>
      </w:pPr>
      <w:r>
        <w:t xml:space="preserve">An entity that is engaged </w:t>
      </w:r>
      <w:r w:rsidRPr="00D233CE">
        <w:t xml:space="preserve">in the business of providing electronic claims transport between the </w:t>
      </w:r>
      <w:r>
        <w:t>C</w:t>
      </w:r>
      <w:r w:rsidRPr="00D233CE">
        <w:t xml:space="preserve">ontracting </w:t>
      </w:r>
      <w:r>
        <w:t>E</w:t>
      </w:r>
      <w:r w:rsidRPr="00D233CE">
        <w:t xml:space="preserve">ntity and the payor or third-party administrator and that complies with all of the applicable terms, conditions, and affirmative obligations of the </w:t>
      </w:r>
      <w:r>
        <w:t>Agreement</w:t>
      </w:r>
      <w:r w:rsidRPr="00D233CE">
        <w:t xml:space="preserve"> including, but not limited to, obligations concerning patient steerage and the timeliness and manner of reimbursement.</w:t>
      </w:r>
    </w:p>
    <w:p w14:paraId="682C43E2" w14:textId="38889252" w:rsidR="00443943" w:rsidRDefault="00443943" w:rsidP="00443943">
      <w:pPr>
        <w:pStyle w:val="Heading1"/>
        <w:rPr>
          <w:b/>
          <w:bCs/>
        </w:rPr>
      </w:pPr>
      <w:r w:rsidRPr="00C52FCB">
        <w:rPr>
          <w:b/>
          <w:bCs/>
        </w:rPr>
        <w:t>General Insurance Laws</w:t>
      </w:r>
    </w:p>
    <w:p w14:paraId="6A621BF1" w14:textId="6F2B4A2B" w:rsidR="00D233CE" w:rsidRPr="00C52FCB" w:rsidRDefault="00D233CE" w:rsidP="00D233CE">
      <w:pPr>
        <w:pStyle w:val="Heading2"/>
      </w:pPr>
      <w:r>
        <w:t>As of the date of this Addendum, there are no applicable laws of this type.</w:t>
      </w:r>
    </w:p>
    <w:p w14:paraId="51FDE7CD" w14:textId="70C8710F" w:rsidR="00443943" w:rsidRDefault="00443943" w:rsidP="00443943">
      <w:pPr>
        <w:pStyle w:val="Heading1"/>
        <w:rPr>
          <w:b/>
          <w:bCs/>
        </w:rPr>
      </w:pPr>
      <w:r w:rsidRPr="00C52FCB">
        <w:rPr>
          <w:b/>
          <w:bCs/>
        </w:rPr>
        <w:t>Health Maintenance Organization</w:t>
      </w:r>
      <w:r w:rsidR="007637C6">
        <w:rPr>
          <w:b/>
          <w:bCs/>
        </w:rPr>
        <w:t xml:space="preserve"> (HMO)</w:t>
      </w:r>
      <w:r w:rsidRPr="00C52FCB">
        <w:rPr>
          <w:b/>
          <w:bCs/>
        </w:rPr>
        <w:t>/</w:t>
      </w:r>
      <w:r w:rsidR="00D52C6D" w:rsidRPr="00C52FCB">
        <w:rPr>
          <w:b/>
          <w:bCs/>
        </w:rPr>
        <w:t>M</w:t>
      </w:r>
      <w:r w:rsidRPr="00C52FCB">
        <w:rPr>
          <w:b/>
          <w:bCs/>
        </w:rPr>
        <w:t xml:space="preserve">anaged Care Organization </w:t>
      </w:r>
      <w:r w:rsidR="007637C6">
        <w:rPr>
          <w:b/>
          <w:bCs/>
        </w:rPr>
        <w:t xml:space="preserve">(MCO) </w:t>
      </w:r>
      <w:r w:rsidRPr="00C52FCB">
        <w:rPr>
          <w:b/>
          <w:bCs/>
        </w:rPr>
        <w:t>Specific Laws</w:t>
      </w:r>
    </w:p>
    <w:p w14:paraId="54A64DC6" w14:textId="7CAD9D4B" w:rsidR="00D233CE" w:rsidRDefault="00D233CE" w:rsidP="00D233CE">
      <w:pPr>
        <w:pStyle w:val="Heading2"/>
      </w:pPr>
      <w:r>
        <w:t>As required by Fla. Stat. § 641.315(1), the subscriber is not liable to the Provider for any services for which the HMO is liable as specified in Fla. Stat. § 641.3154.</w:t>
      </w:r>
    </w:p>
    <w:p w14:paraId="3EEABBCE" w14:textId="78E1D78A" w:rsidR="001F163A" w:rsidRDefault="00D233CE" w:rsidP="001F163A">
      <w:pPr>
        <w:pStyle w:val="Heading2"/>
      </w:pPr>
      <w:r>
        <w:t>As required by Fla. Stat. § 641.315(2)(a), the Provider must</w:t>
      </w:r>
      <w:r w:rsidR="001F163A">
        <w:t xml:space="preserve"> g</w:t>
      </w:r>
      <w:r>
        <w:t>ive 60 days’ advance written notice to the HMO and the Office of Insurance Regulation</w:t>
      </w:r>
      <w:r w:rsidR="001F163A">
        <w:t xml:space="preserve"> before cancelling the </w:t>
      </w:r>
      <w:r w:rsidR="001407B4">
        <w:t>Agreement</w:t>
      </w:r>
      <w:r w:rsidR="001F163A">
        <w:t xml:space="preserve"> for any reason. Nonpayment for goods or services by the HMO is not a valid reason for avoiding the 60 days’ advance written notice requirement.</w:t>
      </w:r>
    </w:p>
    <w:p w14:paraId="1557E1A3" w14:textId="66A925CB" w:rsidR="001F163A" w:rsidRDefault="001F163A" w:rsidP="001F163A">
      <w:pPr>
        <w:pStyle w:val="Heading2"/>
      </w:pPr>
      <w:r>
        <w:t>As required by Fla. Stat. § 641.315(2)(b), the HMO must give 60 days’ advance written notice to the Provider and the Office of Insurance Regulation before cancelling</w:t>
      </w:r>
      <w:r w:rsidR="001407B4">
        <w:t xml:space="preserve"> the Agreement</w:t>
      </w:r>
      <w:r>
        <w:t xml:space="preserve"> without cause, </w:t>
      </w:r>
      <w:r w:rsidR="001407B4">
        <w:t>except in a case in which a patient’s health is subject to imminent danger or a physician’s ability to practice medicine is effectively impaired by an action by the Board of Medicine or other governmental agency.</w:t>
      </w:r>
    </w:p>
    <w:p w14:paraId="021BBA7C" w14:textId="46A99A28" w:rsidR="00D144FA" w:rsidRDefault="00EF5E23" w:rsidP="001F163A">
      <w:pPr>
        <w:pStyle w:val="Heading2"/>
      </w:pPr>
      <w:r>
        <w:t xml:space="preserve">Any information which is required to be </w:t>
      </w:r>
      <w:r>
        <w:t xml:space="preserve">disclosed by the HMO under Fla. Stat. § 641.315(4) which is not already included in the body of </w:t>
      </w:r>
      <w:r>
        <w:t xml:space="preserve">the Agreement </w:t>
      </w:r>
      <w:r>
        <w:t>s</w:t>
      </w:r>
      <w:r>
        <w:t xml:space="preserve">hall be </w:t>
      </w:r>
      <w:r>
        <w:lastRenderedPageBreak/>
        <w:t>disclosed to the Provider</w:t>
      </w:r>
      <w:r>
        <w:t>.</w:t>
      </w:r>
      <w:r>
        <w:t xml:space="preserve"> HMO shall provide at least 30 calendar days’ prior written notice of any changes in the information disclosed under Fla. Stat. § 641.315(4).</w:t>
      </w:r>
    </w:p>
    <w:p w14:paraId="738BBFF4" w14:textId="46212F5C" w:rsidR="00EF5E23" w:rsidRDefault="00CB4E22" w:rsidP="001F163A">
      <w:pPr>
        <w:pStyle w:val="Heading2"/>
      </w:pPr>
      <w:r>
        <w:t>As required by Fla. Stat. § 641.315(7), neither the HMO nor the Provider may contract the Agreement unless the party has provided written notice for the reason for the termination.</w:t>
      </w:r>
    </w:p>
    <w:p w14:paraId="0222BD9C" w14:textId="2D9025B6" w:rsidR="00CB4E22" w:rsidRDefault="00862380" w:rsidP="001F163A">
      <w:pPr>
        <w:pStyle w:val="Heading2"/>
      </w:pPr>
      <w:r>
        <w:t>As required by Fla. Stat. § 641.234(3)</w:t>
      </w:r>
      <w:r w:rsidR="005E17A6">
        <w:t>, the Agreement shall be cancelled upon issuance of an order by the Office of Insurance Regulation.</w:t>
      </w:r>
    </w:p>
    <w:p w14:paraId="0E038545" w14:textId="3F20ADBF" w:rsidR="005E17A6" w:rsidRDefault="005E17A6" w:rsidP="001F163A">
      <w:pPr>
        <w:pStyle w:val="Heading2"/>
      </w:pPr>
      <w:r>
        <w:t>As required by Fla. Stat. § 641.495(4), Provider agrees to take a pending or tracking number in the event HMO holds a request for treatment authorization pending.</w:t>
      </w:r>
    </w:p>
    <w:p w14:paraId="63B63BAC" w14:textId="3E893E8A" w:rsidR="00273C5B" w:rsidRPr="00C52FCB" w:rsidRDefault="008D4EFD" w:rsidP="001F163A">
      <w:pPr>
        <w:pStyle w:val="Heading2"/>
      </w:pPr>
      <w:r>
        <w:t xml:space="preserve">As required by Fla. Stat. § 641.511(8), Provider must post a consumer </w:t>
      </w:r>
      <w:r w:rsidRPr="008D4EFD">
        <w:t xml:space="preserve">assistance notice prominently displayed in the reception area of the </w:t>
      </w:r>
      <w:r>
        <w:t>P</w:t>
      </w:r>
      <w:r w:rsidRPr="008D4EFD">
        <w:t>rovider and clearly noticeable by all patients. The consumer assistance notice must state the addresses and toll-free telephone numbers of the Agency for Health Care Administration and the Department of Financial Services. The consumer assistance notice must also clearly state that the address and toll-free telephone number of the organization’s grievance department shall be provided upon request</w:t>
      </w:r>
      <w:r>
        <w:t>.</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92cbf56-8c68-4132-993e-6ccd"/>
  <w:p w14:paraId="2D5023B9" w14:textId="77777777" w:rsidR="00D405E0" w:rsidRDefault="00D405E0">
    <w:pPr>
      <w:pStyle w:val="DocID"/>
    </w:pPr>
    <w:r>
      <w:fldChar w:fldCharType="begin"/>
    </w:r>
    <w:r>
      <w:instrText xml:space="preserve">  DOCPROPERTY "CUS_DocIDChunk0" </w:instrText>
    </w:r>
    <w:r>
      <w:fldChar w:fldCharType="separate"/>
    </w:r>
    <w:r>
      <w:t>4877-7797-2099.1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c2f8172-2109-40d0-9b73-9f42"/>
  <w:p w14:paraId="36D0E541" w14:textId="77777777" w:rsidR="00D405E0" w:rsidRDefault="00D405E0">
    <w:pPr>
      <w:pStyle w:val="DocID"/>
    </w:pPr>
    <w:r>
      <w:fldChar w:fldCharType="begin"/>
    </w:r>
    <w:r>
      <w:instrText xml:space="preserve">  DOCPROPERTY "CUS_DocIDChunk0" </w:instrText>
    </w:r>
    <w:r>
      <w:fldChar w:fldCharType="separate"/>
    </w:r>
    <w:r>
      <w:t>4877-7797-2099.1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10093cc5-6174-4ba6-8f3f-8684"/>
  <w:p w14:paraId="6692D827" w14:textId="77777777" w:rsidR="00D405E0" w:rsidRDefault="00D405E0">
    <w:pPr>
      <w:pStyle w:val="DocID"/>
    </w:pPr>
    <w:r>
      <w:fldChar w:fldCharType="begin"/>
    </w:r>
    <w:r>
      <w:instrText xml:space="preserve">  DOCPROPERTY "CUS_DocIDChunk0" </w:instrText>
    </w:r>
    <w:r>
      <w:fldChar w:fldCharType="separate"/>
    </w:r>
    <w:r>
      <w:t>4877-7797-2099.1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428FFE0"/>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b w:val="0"/>
        <w:bCs w:val="0"/>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10300B"/>
    <w:rsid w:val="00125ED5"/>
    <w:rsid w:val="001407B4"/>
    <w:rsid w:val="001566BA"/>
    <w:rsid w:val="00172057"/>
    <w:rsid w:val="00173338"/>
    <w:rsid w:val="001A015C"/>
    <w:rsid w:val="001A74A5"/>
    <w:rsid w:val="001B0C81"/>
    <w:rsid w:val="001B7CF2"/>
    <w:rsid w:val="001E0293"/>
    <w:rsid w:val="001F163A"/>
    <w:rsid w:val="001F30CD"/>
    <w:rsid w:val="00256813"/>
    <w:rsid w:val="00273C5B"/>
    <w:rsid w:val="00277F9E"/>
    <w:rsid w:val="0029595D"/>
    <w:rsid w:val="002A04D9"/>
    <w:rsid w:val="002B09B7"/>
    <w:rsid w:val="002F58F1"/>
    <w:rsid w:val="00300A0F"/>
    <w:rsid w:val="00321969"/>
    <w:rsid w:val="0034376E"/>
    <w:rsid w:val="00343F35"/>
    <w:rsid w:val="00346903"/>
    <w:rsid w:val="0035789B"/>
    <w:rsid w:val="003C781B"/>
    <w:rsid w:val="003D187A"/>
    <w:rsid w:val="003F0EA3"/>
    <w:rsid w:val="003F5632"/>
    <w:rsid w:val="00443943"/>
    <w:rsid w:val="00456EC5"/>
    <w:rsid w:val="0046577B"/>
    <w:rsid w:val="004C1185"/>
    <w:rsid w:val="004C7C90"/>
    <w:rsid w:val="004D3810"/>
    <w:rsid w:val="004E5724"/>
    <w:rsid w:val="004F738B"/>
    <w:rsid w:val="005079FB"/>
    <w:rsid w:val="00550979"/>
    <w:rsid w:val="005510B4"/>
    <w:rsid w:val="00571C93"/>
    <w:rsid w:val="005D0E7E"/>
    <w:rsid w:val="005E17A6"/>
    <w:rsid w:val="005E5E76"/>
    <w:rsid w:val="005F2060"/>
    <w:rsid w:val="005F2CA0"/>
    <w:rsid w:val="00625DB6"/>
    <w:rsid w:val="006470E7"/>
    <w:rsid w:val="00663523"/>
    <w:rsid w:val="006677DD"/>
    <w:rsid w:val="006C618B"/>
    <w:rsid w:val="006C7C71"/>
    <w:rsid w:val="00704000"/>
    <w:rsid w:val="00706DFD"/>
    <w:rsid w:val="007112F5"/>
    <w:rsid w:val="00762073"/>
    <w:rsid w:val="007637C6"/>
    <w:rsid w:val="00776BA0"/>
    <w:rsid w:val="007A6657"/>
    <w:rsid w:val="007E4EC1"/>
    <w:rsid w:val="007E594B"/>
    <w:rsid w:val="007F528F"/>
    <w:rsid w:val="007F5A4D"/>
    <w:rsid w:val="008045ED"/>
    <w:rsid w:val="008116F2"/>
    <w:rsid w:val="00833644"/>
    <w:rsid w:val="008345C5"/>
    <w:rsid w:val="00862380"/>
    <w:rsid w:val="00865CE6"/>
    <w:rsid w:val="0087763E"/>
    <w:rsid w:val="008A44DE"/>
    <w:rsid w:val="008B23B1"/>
    <w:rsid w:val="008D2617"/>
    <w:rsid w:val="008D4EFD"/>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B4E22"/>
    <w:rsid w:val="00CE02F7"/>
    <w:rsid w:val="00CE33F4"/>
    <w:rsid w:val="00CF4E25"/>
    <w:rsid w:val="00D00343"/>
    <w:rsid w:val="00D03F90"/>
    <w:rsid w:val="00D0485C"/>
    <w:rsid w:val="00D144FA"/>
    <w:rsid w:val="00D14968"/>
    <w:rsid w:val="00D233CE"/>
    <w:rsid w:val="00D342AD"/>
    <w:rsid w:val="00D405E0"/>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3460"/>
    <w:rsid w:val="00EF5E23"/>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760</Words>
  <Characters>5717</Characters>
  <Application>Microsoft Office Word</Application>
  <DocSecurity>0</DocSecurity>
  <Lines>228</Lines>
  <Paragraphs>249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6</cp:revision>
  <dcterms:created xsi:type="dcterms:W3CDTF">2023-09-28T13:14:00Z</dcterms:created>
  <dcterms:modified xsi:type="dcterms:W3CDTF">2023-09-28T23:59:00Z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4877-7797-2099.1</vt:lpwstr>
  </property>
  <property fmtid="{D5CDD505-2E9C-101B-9397-08002B2CF9AE}" pid="3" name="CUS_DocIDChunk0">
    <vt:lpwstr>4877-7797-2099.1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